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89" w:rsidRDefault="000D4F89" w:rsidP="00597F8C">
      <w:pPr>
        <w:jc w:val="both"/>
        <w:rPr>
          <w:b/>
          <w:color w:val="auto"/>
        </w:rPr>
      </w:pPr>
      <w:r>
        <w:rPr>
          <w:b/>
          <w:color w:val="auto"/>
        </w:rPr>
        <w:t xml:space="preserve">GPHA </w:t>
      </w:r>
      <w:r w:rsidR="00CB545D">
        <w:rPr>
          <w:b/>
          <w:color w:val="auto"/>
        </w:rPr>
        <w:t>Legislativ</w:t>
      </w:r>
      <w:r>
        <w:rPr>
          <w:b/>
          <w:color w:val="auto"/>
        </w:rPr>
        <w:t>e Report for week ending Feb. 6</w:t>
      </w:r>
      <w:r w:rsidR="00CB545D">
        <w:rPr>
          <w:b/>
          <w:color w:val="auto"/>
        </w:rPr>
        <w:t>, 2015</w:t>
      </w:r>
    </w:p>
    <w:p w:rsidR="000D4F89" w:rsidRDefault="000D4F89" w:rsidP="00597F8C">
      <w:pPr>
        <w:jc w:val="both"/>
        <w:rPr>
          <w:b/>
          <w:color w:val="auto"/>
        </w:rPr>
      </w:pPr>
    </w:p>
    <w:p w:rsidR="00597F8C" w:rsidRDefault="00597F8C" w:rsidP="00597F8C">
      <w:pPr>
        <w:jc w:val="both"/>
        <w:rPr>
          <w:b/>
          <w:color w:val="auto"/>
        </w:rPr>
      </w:pPr>
      <w:r>
        <w:rPr>
          <w:b/>
          <w:color w:val="auto"/>
        </w:rPr>
        <w:t>By Scott Maxwell</w:t>
      </w:r>
    </w:p>
    <w:p w:rsidR="000D4F89" w:rsidRDefault="000D4F89" w:rsidP="00597F8C">
      <w:pPr>
        <w:jc w:val="both"/>
        <w:rPr>
          <w:b/>
          <w:color w:val="auto"/>
        </w:rPr>
      </w:pPr>
    </w:p>
    <w:p w:rsidR="000D4F89" w:rsidRDefault="000D4F89" w:rsidP="00597F8C">
      <w:pPr>
        <w:jc w:val="both"/>
        <w:rPr>
          <w:b/>
          <w:color w:val="auto"/>
        </w:rPr>
      </w:pPr>
      <w:r>
        <w:rPr>
          <w:b/>
          <w:color w:val="auto"/>
        </w:rPr>
        <w:t>Vaccinations</w:t>
      </w:r>
    </w:p>
    <w:p w:rsidR="00597F8C" w:rsidRDefault="00597F8C" w:rsidP="00597F8C">
      <w:pPr>
        <w:jc w:val="both"/>
        <w:rPr>
          <w:b/>
          <w:color w:val="auto"/>
        </w:rPr>
      </w:pPr>
    </w:p>
    <w:p w:rsidR="000D4F89" w:rsidRPr="000D4F89" w:rsidRDefault="000D4F89" w:rsidP="000D4F89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Theme="minorHAnsi" w:eastAsiaTheme="minorEastAsia" w:hAnsiTheme="minorHAnsi" w:cs="Arial"/>
          <w:color w:val="auto"/>
        </w:rPr>
      </w:pPr>
      <w:r>
        <w:rPr>
          <w:rFonts w:asciiTheme="minorHAnsi" w:eastAsiaTheme="minorEastAsia" w:hAnsiTheme="minorHAnsi" w:cs="Arial"/>
          <w:color w:val="auto"/>
        </w:rPr>
        <w:t>State Senator Renee Unterman said this week that she had been keeping in touch with DPH Commissioner Brenda Fitzgerald regarding vaccinations. Unterman</w:t>
      </w:r>
      <w:r w:rsidRPr="000D4F89">
        <w:rPr>
          <w:rFonts w:asciiTheme="minorHAnsi" w:eastAsiaTheme="minorEastAsia" w:hAnsiTheme="minorHAnsi" w:cs="Arial"/>
          <w:color w:val="auto"/>
        </w:rPr>
        <w:t xml:space="preserve"> supports widening the ability for pharmacies to offer mandatory vaccinations, and</w:t>
      </w:r>
      <w:r>
        <w:rPr>
          <w:rFonts w:asciiTheme="minorHAnsi" w:eastAsiaTheme="minorEastAsia" w:hAnsiTheme="minorHAnsi" w:cs="Arial"/>
          <w:color w:val="auto"/>
        </w:rPr>
        <w:t xml:space="preserve"> she</w:t>
      </w:r>
      <w:r w:rsidRPr="000D4F89">
        <w:rPr>
          <w:rFonts w:asciiTheme="minorHAnsi" w:eastAsiaTheme="minorEastAsia" w:hAnsiTheme="minorHAnsi" w:cs="Arial"/>
          <w:color w:val="auto"/>
        </w:rPr>
        <w:t xml:space="preserve"> is optimistic proposed legislation allowing that will pass this year.</w:t>
      </w:r>
    </w:p>
    <w:p w:rsidR="000D4F89" w:rsidRDefault="000D4F89" w:rsidP="000D4F89">
      <w:pPr>
        <w:jc w:val="both"/>
        <w:rPr>
          <w:rFonts w:asciiTheme="minorHAnsi" w:eastAsiaTheme="minorEastAsia" w:hAnsiTheme="minorHAnsi" w:cs="Arial"/>
          <w:color w:val="auto"/>
        </w:rPr>
      </w:pPr>
    </w:p>
    <w:p w:rsidR="007B25CD" w:rsidRDefault="000D4F89" w:rsidP="000D4F89">
      <w:pPr>
        <w:jc w:val="both"/>
        <w:rPr>
          <w:rFonts w:asciiTheme="minorHAnsi" w:eastAsiaTheme="minorEastAsia" w:hAnsiTheme="minorHAnsi" w:cs="Arial"/>
          <w:color w:val="auto"/>
        </w:rPr>
      </w:pPr>
      <w:r w:rsidRPr="000D4F89">
        <w:rPr>
          <w:rFonts w:asciiTheme="minorHAnsi" w:eastAsiaTheme="minorEastAsia" w:hAnsiTheme="minorHAnsi" w:cs="Arial"/>
          <w:color w:val="auto"/>
        </w:rPr>
        <w:t>“It’s about accessibility. As we have less access to primary care physicians, you know, even small towns</w:t>
      </w:r>
      <w:r>
        <w:rPr>
          <w:rFonts w:asciiTheme="minorHAnsi" w:eastAsiaTheme="minorEastAsia" w:hAnsiTheme="minorHAnsi" w:cs="Arial"/>
          <w:color w:val="auto"/>
        </w:rPr>
        <w:t xml:space="preserve"> have a CVS now,” said Unterman. </w:t>
      </w:r>
    </w:p>
    <w:p w:rsidR="007B25CD" w:rsidRDefault="007B25CD" w:rsidP="000D4F89">
      <w:pPr>
        <w:jc w:val="both"/>
        <w:rPr>
          <w:rFonts w:asciiTheme="minorHAnsi" w:eastAsiaTheme="minorEastAsia" w:hAnsiTheme="minorHAnsi" w:cs="Arial"/>
          <w:color w:val="auto"/>
        </w:rPr>
      </w:pPr>
    </w:p>
    <w:p w:rsidR="000D4F89" w:rsidRDefault="000D4F89" w:rsidP="000D4F89">
      <w:pPr>
        <w:jc w:val="both"/>
        <w:rPr>
          <w:rFonts w:asciiTheme="minorHAnsi" w:eastAsiaTheme="minorEastAsia" w:hAnsiTheme="minorHAnsi" w:cs="Arial"/>
          <w:color w:val="auto"/>
        </w:rPr>
      </w:pPr>
      <w:r>
        <w:rPr>
          <w:rFonts w:asciiTheme="minorHAnsi" w:eastAsiaTheme="minorEastAsia" w:hAnsiTheme="minorHAnsi" w:cs="Arial"/>
          <w:color w:val="auto"/>
        </w:rPr>
        <w:t xml:space="preserve">She does not </w:t>
      </w:r>
      <w:r w:rsidR="007B25CD">
        <w:rPr>
          <w:rFonts w:asciiTheme="minorHAnsi" w:eastAsiaTheme="minorEastAsia" w:hAnsiTheme="minorHAnsi" w:cs="Arial"/>
          <w:color w:val="auto"/>
        </w:rPr>
        <w:t>foresee</w:t>
      </w:r>
      <w:r>
        <w:rPr>
          <w:rFonts w:asciiTheme="minorHAnsi" w:eastAsiaTheme="minorEastAsia" w:hAnsiTheme="minorHAnsi" w:cs="Arial"/>
          <w:color w:val="auto"/>
        </w:rPr>
        <w:t xml:space="preserve"> legislation </w:t>
      </w:r>
      <w:bookmarkStart w:id="0" w:name="_GoBack"/>
      <w:bookmarkEnd w:id="0"/>
      <w:r>
        <w:rPr>
          <w:rFonts w:asciiTheme="minorHAnsi" w:eastAsiaTheme="minorEastAsia" w:hAnsiTheme="minorHAnsi" w:cs="Arial"/>
          <w:color w:val="auto"/>
        </w:rPr>
        <w:t xml:space="preserve">to change any of the current vaccination </w:t>
      </w:r>
      <w:r w:rsidR="007B25CD">
        <w:rPr>
          <w:rFonts w:asciiTheme="minorHAnsi" w:eastAsiaTheme="minorEastAsia" w:hAnsiTheme="minorHAnsi" w:cs="Arial"/>
          <w:color w:val="auto"/>
        </w:rPr>
        <w:t>regulations in Georgia</w:t>
      </w:r>
      <w:r>
        <w:rPr>
          <w:rFonts w:asciiTheme="minorHAnsi" w:eastAsiaTheme="minorEastAsia" w:hAnsiTheme="minorHAnsi" w:cs="Arial"/>
          <w:color w:val="auto"/>
        </w:rPr>
        <w:t>.</w:t>
      </w:r>
    </w:p>
    <w:p w:rsidR="000D4F89" w:rsidRDefault="000D4F89" w:rsidP="000D4F89">
      <w:pPr>
        <w:jc w:val="both"/>
        <w:rPr>
          <w:rFonts w:asciiTheme="minorHAnsi" w:eastAsiaTheme="minorEastAsia" w:hAnsiTheme="minorHAnsi" w:cs="Arial"/>
          <w:color w:val="auto"/>
        </w:rPr>
      </w:pPr>
    </w:p>
    <w:p w:rsidR="000D4F89" w:rsidRPr="000D4F89" w:rsidRDefault="000D4F89" w:rsidP="000D4F89">
      <w:pPr>
        <w:jc w:val="both"/>
        <w:rPr>
          <w:b/>
          <w:color w:val="auto"/>
        </w:rPr>
      </w:pPr>
      <w:r w:rsidRPr="000D4F89">
        <w:rPr>
          <w:b/>
          <w:color w:val="auto"/>
        </w:rPr>
        <w:t>Tobacco Tax</w:t>
      </w:r>
    </w:p>
    <w:p w:rsidR="000D4F89" w:rsidRDefault="000D4F89" w:rsidP="000D4F89">
      <w:pPr>
        <w:jc w:val="both"/>
        <w:rPr>
          <w:color w:val="auto"/>
        </w:rPr>
      </w:pPr>
    </w:p>
    <w:p w:rsidR="000D4F89" w:rsidRDefault="000D4F89" w:rsidP="000D4F89">
      <w:pPr>
        <w:jc w:val="both"/>
        <w:rPr>
          <w:color w:val="auto"/>
        </w:rPr>
      </w:pPr>
      <w:r>
        <w:rPr>
          <w:color w:val="auto"/>
        </w:rPr>
        <w:t>Tobacco tax legislation is still out there . . . it just hasn’t taken form and been dropped into the hopper yet. Expecting something soon. It may be that the Senate amends a House bill dealing with some other tax issue, as the state constitution prohibits the</w:t>
      </w:r>
      <w:r w:rsidR="00017499">
        <w:rPr>
          <w:color w:val="auto"/>
        </w:rPr>
        <w:t xml:space="preserve"> Senate from initiating revenue-</w:t>
      </w:r>
      <w:r>
        <w:rPr>
          <w:color w:val="auto"/>
        </w:rPr>
        <w:t>raising legislation.</w:t>
      </w:r>
    </w:p>
    <w:p w:rsidR="000D4F89" w:rsidRDefault="000D4F89" w:rsidP="000D4F89">
      <w:pPr>
        <w:jc w:val="both"/>
        <w:rPr>
          <w:color w:val="auto"/>
        </w:rPr>
      </w:pPr>
    </w:p>
    <w:p w:rsidR="00597F8C" w:rsidRDefault="00017499" w:rsidP="00597F8C">
      <w:pPr>
        <w:jc w:val="both"/>
        <w:rPr>
          <w:b/>
          <w:color w:val="auto"/>
        </w:rPr>
      </w:pPr>
      <w:r>
        <w:rPr>
          <w:b/>
          <w:color w:val="auto"/>
        </w:rPr>
        <w:t>Hold Harmless</w:t>
      </w:r>
    </w:p>
    <w:p w:rsidR="00017499" w:rsidRDefault="00017499" w:rsidP="00597F8C">
      <w:pPr>
        <w:jc w:val="both"/>
        <w:rPr>
          <w:b/>
          <w:color w:val="auto"/>
        </w:rPr>
      </w:pPr>
    </w:p>
    <w:p w:rsidR="00017499" w:rsidRPr="00017499" w:rsidRDefault="00017499" w:rsidP="00597F8C">
      <w:pPr>
        <w:jc w:val="both"/>
        <w:rPr>
          <w:color w:val="auto"/>
        </w:rPr>
      </w:pPr>
      <w:r w:rsidRPr="00017499">
        <w:rPr>
          <w:color w:val="auto"/>
        </w:rPr>
        <w:t>If hold harmless dollars for counties that would otherwise lose under the most recent distribution formula are important to you, now would be a good time to let your representatives and senators know.</w:t>
      </w:r>
      <w:r>
        <w:rPr>
          <w:color w:val="auto"/>
        </w:rPr>
        <w:t xml:space="preserve"> The Transportation Funding Act is playing the role of vacuum cleaner in the FY 2016 budget. They are trying to fund it with $1 billion dollars without raising taxes. Easy to see how someone could have their gaze set on the $1.3 million the Governor recommended for hold harmless in his budget report.</w:t>
      </w:r>
    </w:p>
    <w:p w:rsidR="00017499" w:rsidRDefault="00017499" w:rsidP="00597F8C">
      <w:pPr>
        <w:jc w:val="both"/>
        <w:rPr>
          <w:b/>
          <w:color w:val="auto"/>
        </w:rPr>
      </w:pPr>
    </w:p>
    <w:p w:rsidR="00017499" w:rsidRDefault="00017499" w:rsidP="00597F8C">
      <w:pPr>
        <w:jc w:val="both"/>
        <w:rPr>
          <w:b/>
          <w:color w:val="auto"/>
        </w:rPr>
      </w:pPr>
    </w:p>
    <w:p w:rsidR="00290839" w:rsidRDefault="00CB545D" w:rsidP="00597F8C">
      <w:pPr>
        <w:jc w:val="both"/>
        <w:rPr>
          <w:b/>
          <w:color w:val="auto"/>
        </w:rPr>
      </w:pPr>
      <w:r>
        <w:rPr>
          <w:b/>
          <w:color w:val="auto"/>
        </w:rPr>
        <w:t>Several b</w:t>
      </w:r>
      <w:r w:rsidR="00597F8C">
        <w:rPr>
          <w:b/>
          <w:color w:val="auto"/>
        </w:rPr>
        <w:t xml:space="preserve">ills </w:t>
      </w:r>
      <w:r w:rsidR="00017499">
        <w:rPr>
          <w:b/>
          <w:color w:val="auto"/>
        </w:rPr>
        <w:t xml:space="preserve">that may be </w:t>
      </w:r>
      <w:r w:rsidR="00597F8C">
        <w:rPr>
          <w:b/>
          <w:color w:val="auto"/>
        </w:rPr>
        <w:t>of interest to the public health community saw action this past week. Here is an update. Click on the blue line to view the bill in its entirety.</w:t>
      </w:r>
    </w:p>
    <w:p w:rsidR="000D4F89" w:rsidRPr="00A40BFC" w:rsidRDefault="000D4F89" w:rsidP="00597F8C">
      <w:pPr>
        <w:jc w:val="both"/>
        <w:rPr>
          <w:b/>
          <w:color w:val="auto"/>
        </w:rPr>
      </w:pPr>
    </w:p>
    <w:p w:rsidR="000D4F89" w:rsidRDefault="000D4F89" w:rsidP="000D4F89">
      <w:pPr>
        <w:jc w:val="both"/>
        <w:rPr>
          <w:color w:val="auto"/>
          <w:sz w:val="22"/>
          <w:szCs w:val="22"/>
        </w:rPr>
      </w:pPr>
      <w:hyperlink r:id="rId5" w:history="1">
        <w:r w:rsidRPr="00804F45">
          <w:rPr>
            <w:rStyle w:val="Hyperlink"/>
            <w:sz w:val="22"/>
            <w:szCs w:val="22"/>
          </w:rPr>
          <w:t>HB 86, Creation of Georgia Adult and Aging Services Agency</w:t>
        </w:r>
      </w:hyperlink>
      <w:r>
        <w:rPr>
          <w:color w:val="auto"/>
          <w:sz w:val="22"/>
          <w:szCs w:val="22"/>
        </w:rPr>
        <w:t xml:space="preserve"> (Rep. Tommy Benton-R)</w:t>
      </w:r>
    </w:p>
    <w:p w:rsidR="000D4F89" w:rsidRDefault="000D4F89" w:rsidP="000D4F89">
      <w:pPr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Pr="00804F45">
        <w:rPr>
          <w:color w:val="auto"/>
          <w:sz w:val="22"/>
          <w:szCs w:val="22"/>
        </w:rPr>
        <w:t xml:space="preserve">elating to services for the aging, so as to provide for the transfer of the Division of Aging Services to the Georgia Adult and </w:t>
      </w:r>
      <w:r w:rsidRPr="00D76C7E">
        <w:rPr>
          <w:color w:val="auto"/>
          <w:sz w:val="22"/>
          <w:szCs w:val="22"/>
        </w:rPr>
        <w:t>Aging Services Agency</w:t>
      </w:r>
      <w:proofErr w:type="gramStart"/>
      <w:r w:rsidRPr="00D76C7E">
        <w:rPr>
          <w:color w:val="auto"/>
          <w:sz w:val="22"/>
          <w:szCs w:val="22"/>
        </w:rPr>
        <w:t>;</w:t>
      </w:r>
      <w:proofErr w:type="gramEnd"/>
      <w:r w:rsidRPr="00D76C7E">
        <w:rPr>
          <w:color w:val="auto"/>
          <w:sz w:val="22"/>
          <w:szCs w:val="22"/>
        </w:rPr>
        <w:t xml:space="preserve"> to provide for the Georgia Adult and Aging Services Board. </w:t>
      </w:r>
      <w:r w:rsidRPr="00D76C7E">
        <w:rPr>
          <w:b/>
          <w:color w:val="auto"/>
          <w:sz w:val="22"/>
          <w:szCs w:val="22"/>
        </w:rPr>
        <w:t xml:space="preserve">Status: </w:t>
      </w:r>
      <w:r w:rsidRPr="00D76C7E">
        <w:rPr>
          <w:color w:val="auto"/>
          <w:sz w:val="22"/>
          <w:szCs w:val="22"/>
        </w:rPr>
        <w:t xml:space="preserve">Referred to Human Relations &amp; Aging Cmte, </w:t>
      </w:r>
      <w:r w:rsidRPr="000600E2">
        <w:rPr>
          <w:color w:val="FF0000"/>
          <w:sz w:val="22"/>
          <w:szCs w:val="22"/>
        </w:rPr>
        <w:t>Passed Cmte with Substitute, Pending Rules Cmte</w:t>
      </w:r>
    </w:p>
    <w:p w:rsidR="000D4F89" w:rsidRDefault="000D4F89" w:rsidP="000D4F89">
      <w:pPr>
        <w:jc w:val="both"/>
      </w:pPr>
    </w:p>
    <w:p w:rsidR="000D4F89" w:rsidRDefault="000D4F89" w:rsidP="000D4F89">
      <w:pPr>
        <w:jc w:val="both"/>
        <w:rPr>
          <w:rFonts w:eastAsia="Times New Roman"/>
          <w:color w:val="auto"/>
          <w:sz w:val="22"/>
          <w:szCs w:val="22"/>
        </w:rPr>
      </w:pPr>
      <w:hyperlink r:id="rId6" w:history="1">
        <w:r w:rsidRPr="000B56E2">
          <w:rPr>
            <w:rStyle w:val="Hyperlink"/>
            <w:rFonts w:eastAsia="Times New Roman"/>
            <w:sz w:val="22"/>
            <w:szCs w:val="22"/>
          </w:rPr>
          <w:t>HB 195, Interchangeable Biological Products</w:t>
        </w:r>
      </w:hyperlink>
      <w:r>
        <w:rPr>
          <w:rFonts w:eastAsia="Times New Roman"/>
          <w:color w:val="auto"/>
          <w:sz w:val="22"/>
          <w:szCs w:val="22"/>
        </w:rPr>
        <w:t xml:space="preserve"> (Rep. Sharon Cooper-R)</w:t>
      </w:r>
    </w:p>
    <w:p w:rsidR="000D4F89" w:rsidRDefault="000D4F89" w:rsidP="000D4F89">
      <w:pPr>
        <w:jc w:val="both"/>
        <w:rPr>
          <w:rFonts w:eastAsia="Times New Roman"/>
          <w:color w:val="FF0000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Relating to pharmacists and pharmacies, so as to provide for substitutions of interchangeable biological products. </w:t>
      </w:r>
      <w:r>
        <w:rPr>
          <w:rFonts w:eastAsia="Times New Roman"/>
          <w:b/>
          <w:color w:val="auto"/>
          <w:sz w:val="22"/>
          <w:szCs w:val="22"/>
        </w:rPr>
        <w:t xml:space="preserve">Status: </w:t>
      </w:r>
      <w:r w:rsidRPr="000B56E2">
        <w:rPr>
          <w:rFonts w:eastAsia="Times New Roman"/>
          <w:color w:val="FF0000"/>
          <w:sz w:val="22"/>
          <w:szCs w:val="22"/>
        </w:rPr>
        <w:t>Referred to Health &amp; Human Services Cmte</w:t>
      </w:r>
    </w:p>
    <w:p w:rsidR="000D4F89" w:rsidRDefault="000D4F89" w:rsidP="000D4F89">
      <w:pPr>
        <w:jc w:val="both"/>
        <w:rPr>
          <w:rFonts w:eastAsia="Times New Roman"/>
          <w:color w:val="FF0000"/>
          <w:sz w:val="22"/>
          <w:szCs w:val="22"/>
        </w:rPr>
      </w:pPr>
    </w:p>
    <w:p w:rsidR="000D4F89" w:rsidRDefault="000D4F89" w:rsidP="000D4F89">
      <w:pPr>
        <w:jc w:val="both"/>
        <w:rPr>
          <w:color w:val="auto"/>
          <w:sz w:val="22"/>
          <w:szCs w:val="22"/>
        </w:rPr>
      </w:pPr>
      <w:hyperlink r:id="rId7" w:history="1">
        <w:r w:rsidRPr="004707E7">
          <w:rPr>
            <w:rStyle w:val="Hyperlink"/>
            <w:sz w:val="22"/>
            <w:szCs w:val="22"/>
          </w:rPr>
          <w:t>HB 198, Suicide Prevention Training for Certified School Personnel</w:t>
        </w:r>
      </w:hyperlink>
      <w:r>
        <w:rPr>
          <w:color w:val="auto"/>
          <w:sz w:val="22"/>
          <w:szCs w:val="22"/>
        </w:rPr>
        <w:t xml:space="preserve"> (Rep. Katie Dempsey-R)</w:t>
      </w:r>
    </w:p>
    <w:p w:rsidR="000D4F89" w:rsidRPr="004707E7" w:rsidRDefault="000D4F89" w:rsidP="000D4F89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Pr="004707E7">
        <w:rPr>
          <w:color w:val="auto"/>
          <w:sz w:val="22"/>
          <w:szCs w:val="22"/>
        </w:rPr>
        <w:t>elating to student health in elementary and secondary education, so as to require annual suicide prevention education training for certificated school system personnel</w:t>
      </w:r>
      <w:r>
        <w:rPr>
          <w:color w:val="auto"/>
          <w:sz w:val="22"/>
          <w:szCs w:val="22"/>
        </w:rPr>
        <w:t xml:space="preserve">. </w:t>
      </w:r>
      <w:r>
        <w:rPr>
          <w:b/>
          <w:color w:val="auto"/>
          <w:sz w:val="22"/>
          <w:szCs w:val="22"/>
        </w:rPr>
        <w:t xml:space="preserve">Status: </w:t>
      </w:r>
      <w:r w:rsidRPr="004707E7">
        <w:rPr>
          <w:color w:val="FF0000"/>
          <w:sz w:val="22"/>
          <w:szCs w:val="22"/>
        </w:rPr>
        <w:t>Referred to Education Cmte</w:t>
      </w:r>
    </w:p>
    <w:p w:rsidR="000D4F89" w:rsidRDefault="000D4F89" w:rsidP="000D4F89">
      <w:pPr>
        <w:jc w:val="both"/>
        <w:rPr>
          <w:rFonts w:eastAsia="Times New Roman"/>
          <w:color w:val="auto"/>
          <w:sz w:val="22"/>
          <w:szCs w:val="22"/>
        </w:rPr>
      </w:pPr>
    </w:p>
    <w:p w:rsidR="000D4F89" w:rsidRDefault="000D4F89" w:rsidP="000D4F89">
      <w:pPr>
        <w:rPr>
          <w:rFonts w:eastAsia="Times New Roman"/>
          <w:color w:val="auto"/>
          <w:sz w:val="22"/>
          <w:szCs w:val="22"/>
        </w:rPr>
      </w:pPr>
      <w:hyperlink r:id="rId8" w:history="1">
        <w:r w:rsidRPr="00027791">
          <w:rPr>
            <w:rStyle w:val="Hyperlink"/>
            <w:rFonts w:eastAsia="Times New Roman"/>
            <w:sz w:val="22"/>
            <w:szCs w:val="22"/>
          </w:rPr>
          <w:t>SB 51, Substitution of Drugs and Biological Products by Pharmacists</w:t>
        </w:r>
      </w:hyperlink>
      <w:r>
        <w:rPr>
          <w:rFonts w:eastAsia="Times New Roman"/>
          <w:color w:val="auto"/>
          <w:sz w:val="22"/>
          <w:szCs w:val="22"/>
        </w:rPr>
        <w:t xml:space="preserve"> (Sen. Dean Burke-R)</w:t>
      </w:r>
    </w:p>
    <w:p w:rsidR="000D4F89" w:rsidRPr="008C11B1" w:rsidRDefault="000D4F89" w:rsidP="000D4F89">
      <w:pPr>
        <w:jc w:val="both"/>
        <w:rPr>
          <w:rFonts w:eastAsia="Times New Roman"/>
          <w:color w:val="FF0000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Relating to pharmacists and pharmacies, so as to provide for substitutions of interchangeable biological products and drugs</w:t>
      </w:r>
      <w:proofErr w:type="gramStart"/>
      <w:r>
        <w:rPr>
          <w:rFonts w:eastAsia="Times New Roman"/>
          <w:color w:val="auto"/>
          <w:sz w:val="22"/>
          <w:szCs w:val="22"/>
        </w:rPr>
        <w:t>;</w:t>
      </w:r>
      <w:proofErr w:type="gramEnd"/>
      <w:r>
        <w:rPr>
          <w:rFonts w:eastAsia="Times New Roman"/>
          <w:color w:val="auto"/>
          <w:sz w:val="22"/>
          <w:szCs w:val="22"/>
        </w:rPr>
        <w:t xml:space="preserve"> </w:t>
      </w:r>
      <w:r w:rsidRPr="00573DD5">
        <w:rPr>
          <w:rFonts w:eastAsia="Times New Roman"/>
          <w:color w:val="auto"/>
          <w:sz w:val="22"/>
          <w:szCs w:val="22"/>
        </w:rPr>
        <w:t xml:space="preserve">to provide for requirements and limitations. </w:t>
      </w:r>
      <w:r w:rsidRPr="00573DD5">
        <w:rPr>
          <w:rFonts w:eastAsia="Times New Roman"/>
          <w:b/>
          <w:color w:val="auto"/>
          <w:sz w:val="22"/>
          <w:szCs w:val="22"/>
        </w:rPr>
        <w:t xml:space="preserve">Status: </w:t>
      </w:r>
      <w:r w:rsidRPr="00573DD5">
        <w:rPr>
          <w:rFonts w:eastAsia="Times New Roman"/>
          <w:color w:val="auto"/>
          <w:sz w:val="22"/>
          <w:szCs w:val="22"/>
        </w:rPr>
        <w:t>Referred to Health &amp; Human Services Cmte</w:t>
      </w:r>
      <w:r>
        <w:rPr>
          <w:rFonts w:eastAsia="Times New Roman"/>
          <w:color w:val="auto"/>
          <w:sz w:val="22"/>
          <w:szCs w:val="22"/>
        </w:rPr>
        <w:t xml:space="preserve">, </w:t>
      </w:r>
      <w:r>
        <w:rPr>
          <w:rFonts w:eastAsia="Times New Roman"/>
          <w:color w:val="FF0000"/>
          <w:sz w:val="22"/>
          <w:szCs w:val="22"/>
        </w:rPr>
        <w:t>Passed Pharmacology Subcmte by Cmte Substitute, Referred to full Cmte, On Cmte Agenda Next Week</w:t>
      </w:r>
    </w:p>
    <w:p w:rsidR="000D4F89" w:rsidRDefault="000D4F89" w:rsidP="000D4F89"/>
    <w:p w:rsidR="000D4F89" w:rsidRDefault="000D4F89" w:rsidP="000D4F89">
      <w:pPr>
        <w:jc w:val="both"/>
        <w:rPr>
          <w:rFonts w:eastAsia="Times New Roman"/>
          <w:color w:val="auto"/>
          <w:sz w:val="22"/>
          <w:szCs w:val="22"/>
        </w:rPr>
      </w:pPr>
      <w:hyperlink r:id="rId9" w:history="1">
        <w:r w:rsidRPr="00E959CD">
          <w:rPr>
            <w:rStyle w:val="Hyperlink"/>
            <w:rFonts w:eastAsia="Times New Roman"/>
            <w:sz w:val="22"/>
            <w:szCs w:val="22"/>
          </w:rPr>
          <w:t>SB 53, Reauthorization of LPC’s for Certain Acts</w:t>
        </w:r>
      </w:hyperlink>
      <w:r>
        <w:rPr>
          <w:rFonts w:eastAsia="Times New Roman"/>
          <w:color w:val="auto"/>
          <w:sz w:val="22"/>
          <w:szCs w:val="22"/>
        </w:rPr>
        <w:t xml:space="preserve"> (Sen. Greg Kirk-R)</w:t>
      </w:r>
    </w:p>
    <w:p w:rsidR="000D4F89" w:rsidRPr="00017499" w:rsidRDefault="000D4F89" w:rsidP="000D4F89">
      <w:p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Revise sunset provision to 2018 for LPC’s to perform c</w:t>
      </w:r>
      <w:r w:rsidRPr="004E0A32">
        <w:rPr>
          <w:rFonts w:eastAsia="Times New Roman"/>
          <w:color w:val="auto"/>
          <w:sz w:val="22"/>
          <w:szCs w:val="22"/>
        </w:rPr>
        <w:t xml:space="preserve">ertain acts. </w:t>
      </w:r>
      <w:r w:rsidRPr="004E0A32">
        <w:rPr>
          <w:rFonts w:eastAsia="Times New Roman"/>
          <w:b/>
          <w:color w:val="auto"/>
          <w:sz w:val="22"/>
          <w:szCs w:val="22"/>
        </w:rPr>
        <w:t xml:space="preserve">Status: </w:t>
      </w:r>
      <w:r w:rsidRPr="004E0A32">
        <w:rPr>
          <w:rFonts w:eastAsia="Times New Roman"/>
          <w:color w:val="auto"/>
          <w:sz w:val="22"/>
          <w:szCs w:val="22"/>
        </w:rPr>
        <w:t>Referred to Health &amp; Human Services Cmte, Passed Cmte, Pending Rules Cmte</w:t>
      </w:r>
      <w:r>
        <w:rPr>
          <w:rFonts w:eastAsia="Times New Roman"/>
          <w:color w:val="auto"/>
          <w:sz w:val="22"/>
          <w:szCs w:val="22"/>
        </w:rPr>
        <w:t xml:space="preserve">, </w:t>
      </w:r>
      <w:r>
        <w:rPr>
          <w:rFonts w:eastAsia="Times New Roman"/>
          <w:color w:val="FF0000"/>
          <w:sz w:val="22"/>
          <w:szCs w:val="22"/>
        </w:rPr>
        <w:t>Tabled in Senate</w:t>
      </w:r>
      <w:r w:rsidR="00017499">
        <w:rPr>
          <w:rFonts w:eastAsia="Times New Roman"/>
          <w:color w:val="FF0000"/>
          <w:sz w:val="22"/>
          <w:szCs w:val="22"/>
        </w:rPr>
        <w:t xml:space="preserve"> </w:t>
      </w:r>
      <w:r w:rsidR="00017499" w:rsidRPr="00017499">
        <w:rPr>
          <w:rFonts w:eastAsia="Times New Roman"/>
          <w:color w:val="auto"/>
          <w:sz w:val="22"/>
          <w:szCs w:val="22"/>
        </w:rPr>
        <w:t>(I don’t think t</w:t>
      </w:r>
      <w:r w:rsidR="00017499">
        <w:rPr>
          <w:rFonts w:eastAsia="Times New Roman"/>
          <w:color w:val="auto"/>
          <w:sz w:val="22"/>
          <w:szCs w:val="22"/>
        </w:rPr>
        <w:t>he bill being tabled had</w:t>
      </w:r>
      <w:r w:rsidR="00017499" w:rsidRPr="00017499">
        <w:rPr>
          <w:rFonts w:eastAsia="Times New Roman"/>
          <w:color w:val="auto"/>
          <w:sz w:val="22"/>
          <w:szCs w:val="22"/>
        </w:rPr>
        <w:t xml:space="preserve"> anything to </w:t>
      </w:r>
      <w:r w:rsidR="00017499">
        <w:rPr>
          <w:rFonts w:eastAsia="Times New Roman"/>
          <w:color w:val="auto"/>
          <w:sz w:val="22"/>
          <w:szCs w:val="22"/>
        </w:rPr>
        <w:t xml:space="preserve">do with </w:t>
      </w:r>
      <w:r w:rsidR="00017499" w:rsidRPr="00017499">
        <w:rPr>
          <w:rFonts w:eastAsia="Times New Roman"/>
          <w:color w:val="auto"/>
          <w:sz w:val="22"/>
          <w:szCs w:val="22"/>
        </w:rPr>
        <w:t xml:space="preserve">the bill’s content. I believe it was a logistical problem associated with other meetings being held in the Capitol. This bill can be moved off the table </w:t>
      </w:r>
      <w:r w:rsidR="00017499">
        <w:rPr>
          <w:rFonts w:eastAsia="Times New Roman"/>
          <w:color w:val="auto"/>
          <w:sz w:val="22"/>
          <w:szCs w:val="22"/>
        </w:rPr>
        <w:t xml:space="preserve">and back onto the debate calendar </w:t>
      </w:r>
      <w:r w:rsidR="00017499" w:rsidRPr="00017499">
        <w:rPr>
          <w:rFonts w:eastAsia="Times New Roman"/>
          <w:color w:val="auto"/>
          <w:sz w:val="22"/>
          <w:szCs w:val="22"/>
        </w:rPr>
        <w:t>with a simple motion.)</w:t>
      </w:r>
    </w:p>
    <w:p w:rsidR="00290839" w:rsidRPr="00017499" w:rsidRDefault="00290839" w:rsidP="00597F8C">
      <w:pPr>
        <w:jc w:val="both"/>
        <w:rPr>
          <w:b/>
          <w:color w:val="auto"/>
        </w:rPr>
      </w:pPr>
    </w:p>
    <w:sectPr w:rsidR="00290839" w:rsidRPr="00017499" w:rsidSect="00EA3E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39"/>
    <w:rsid w:val="00017499"/>
    <w:rsid w:val="000D4F89"/>
    <w:rsid w:val="00290839"/>
    <w:rsid w:val="00597F8C"/>
    <w:rsid w:val="007B25CD"/>
    <w:rsid w:val="008E3193"/>
    <w:rsid w:val="00CB545D"/>
    <w:rsid w:val="00DE64A3"/>
    <w:rsid w:val="00E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839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083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08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839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083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0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gis.ga.gov/legislation/en-US/Display/20152016/HB/86" TargetMode="External"/><Relationship Id="rId6" Type="http://schemas.openxmlformats.org/officeDocument/2006/relationships/hyperlink" Target="http://www.legis.ga.gov/legislation/en-US/Display/20152016/HB/195" TargetMode="External"/><Relationship Id="rId7" Type="http://schemas.openxmlformats.org/officeDocument/2006/relationships/hyperlink" Target="http://www.legis.ga.gov/legislation/en-US/Display/20152016/HB/198" TargetMode="External"/><Relationship Id="rId8" Type="http://schemas.openxmlformats.org/officeDocument/2006/relationships/hyperlink" Target="http://www.legis.ga.gov/legislation/en-US/Display/20152016/SB/51" TargetMode="External"/><Relationship Id="rId9" Type="http://schemas.openxmlformats.org/officeDocument/2006/relationships/hyperlink" Target="http://www.legis.ga.gov/legislation/en-US/Display/20152016/SB/53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3313</Characters>
  <Application>Microsoft Macintosh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 Maxwell</dc:creator>
  <cp:keywords/>
  <dc:description/>
  <cp:lastModifiedBy>Scott  Maxwell</cp:lastModifiedBy>
  <cp:revision>2</cp:revision>
  <dcterms:created xsi:type="dcterms:W3CDTF">2015-02-08T19:42:00Z</dcterms:created>
  <dcterms:modified xsi:type="dcterms:W3CDTF">2015-02-08T19:42:00Z</dcterms:modified>
</cp:coreProperties>
</file>