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A7145" w14:textId="77777777" w:rsidR="00D120E3" w:rsidRPr="00816619" w:rsidRDefault="00D120E3" w:rsidP="00D120E3">
      <w:pPr>
        <w:jc w:val="both"/>
        <w:rPr>
          <w:b/>
        </w:rPr>
      </w:pPr>
      <w:r w:rsidRPr="00816619">
        <w:rPr>
          <w:b/>
        </w:rPr>
        <w:t>GPHA Weekly Legislative Report</w:t>
      </w:r>
    </w:p>
    <w:p w14:paraId="57283669" w14:textId="3EA0A879" w:rsidR="00D120E3" w:rsidRDefault="007C5A78" w:rsidP="00D120E3">
      <w:pPr>
        <w:jc w:val="both"/>
      </w:pPr>
      <w:r>
        <w:t>Week Ending March 13</w:t>
      </w:r>
      <w:r w:rsidR="00D120E3">
        <w:t>, 2015</w:t>
      </w:r>
    </w:p>
    <w:p w14:paraId="3CBC4BE3" w14:textId="77777777" w:rsidR="00D120E3" w:rsidRDefault="00D120E3" w:rsidP="00D120E3">
      <w:pPr>
        <w:jc w:val="both"/>
      </w:pPr>
      <w:r>
        <w:t>By Scott Maxwell</w:t>
      </w:r>
    </w:p>
    <w:p w14:paraId="346BF855" w14:textId="77777777" w:rsidR="007C5A78" w:rsidRDefault="007C5A78" w:rsidP="00D120E3">
      <w:pPr>
        <w:jc w:val="both"/>
      </w:pPr>
    </w:p>
    <w:p w14:paraId="6F21E203" w14:textId="40DA38E5" w:rsidR="007C5A78" w:rsidRDefault="007C5A78" w:rsidP="00D120E3">
      <w:pPr>
        <w:jc w:val="both"/>
      </w:pPr>
      <w:r>
        <w:t xml:space="preserve">Friday was “crossover day” at the General Assembly, the deadline for a bill to pass out of its house of origin, or be </w:t>
      </w:r>
      <w:proofErr w:type="gramStart"/>
      <w:r>
        <w:t>set aside</w:t>
      </w:r>
      <w:proofErr w:type="gramEnd"/>
      <w:r>
        <w:t xml:space="preserve"> until next session. Here’s what happened to some of the bills we’ve been following:</w:t>
      </w:r>
    </w:p>
    <w:p w14:paraId="01E87F82" w14:textId="77777777" w:rsidR="007C5A78" w:rsidRDefault="007C5A78" w:rsidP="00D120E3">
      <w:pPr>
        <w:jc w:val="both"/>
      </w:pPr>
    </w:p>
    <w:p w14:paraId="39A8A5D9" w14:textId="77777777" w:rsidR="007C5A78" w:rsidRPr="00613CAF" w:rsidRDefault="007C5A78" w:rsidP="007C5A78">
      <w:pPr>
        <w:jc w:val="both"/>
        <w:rPr>
          <w:rFonts w:cs="Georgia"/>
          <w:b/>
        </w:rPr>
      </w:pPr>
      <w:r w:rsidRPr="00613CAF">
        <w:rPr>
          <w:rFonts w:cs="Georgia"/>
          <w:b/>
        </w:rPr>
        <w:t>The Sale of Fireworks Crosses Over</w:t>
      </w:r>
    </w:p>
    <w:p w14:paraId="15EF3958" w14:textId="77777777" w:rsidR="007C5A78" w:rsidRPr="00951648" w:rsidRDefault="007C5A78" w:rsidP="007C5A78">
      <w:pPr>
        <w:jc w:val="both"/>
      </w:pPr>
    </w:p>
    <w:p w14:paraId="1577B1B3" w14:textId="3DD360B1" w:rsidR="007C5A78" w:rsidRDefault="007C5A78" w:rsidP="007C5A78">
      <w:pPr>
        <w:widowControl w:val="0"/>
        <w:autoSpaceDE w:val="0"/>
        <w:autoSpaceDN w:val="0"/>
        <w:adjustRightInd w:val="0"/>
        <w:jc w:val="both"/>
        <w:rPr>
          <w:rFonts w:cs="Georgia"/>
        </w:rPr>
      </w:pPr>
      <w:r>
        <w:rPr>
          <w:rFonts w:cs="Georgia"/>
        </w:rPr>
        <w:t xml:space="preserve">The </w:t>
      </w:r>
      <w:r w:rsidRPr="00951648">
        <w:rPr>
          <w:rFonts w:cs="Georgia"/>
        </w:rPr>
        <w:t>House voted 119-49 Monday to pass legislation (</w:t>
      </w:r>
      <w:hyperlink r:id="rId5" w:history="1">
        <w:r w:rsidRPr="00951648">
          <w:rPr>
            <w:rFonts w:cs="Georgia"/>
            <w:color w:val="00397E"/>
            <w:u w:val="single" w:color="00397E"/>
          </w:rPr>
          <w:t>HB 110</w:t>
        </w:r>
      </w:hyperlink>
      <w:r w:rsidRPr="00951648">
        <w:rPr>
          <w:rFonts w:cs="Georgia"/>
        </w:rPr>
        <w:t>) that would legalize the sa</w:t>
      </w:r>
      <w:r>
        <w:rPr>
          <w:rFonts w:cs="Georgia"/>
        </w:rPr>
        <w:t xml:space="preserve">le of all fireworks in Georgia. Fireworks </w:t>
      </w:r>
      <w:r w:rsidRPr="00951648">
        <w:rPr>
          <w:rFonts w:cs="Georgia"/>
        </w:rPr>
        <w:t xml:space="preserve">are now available in every bordering state except North Carolina. </w:t>
      </w:r>
      <w:r>
        <w:rPr>
          <w:rFonts w:cs="Georgia"/>
        </w:rPr>
        <w:t xml:space="preserve">Supporters </w:t>
      </w:r>
      <w:r w:rsidRPr="00951648">
        <w:rPr>
          <w:rFonts w:cs="Georgia"/>
        </w:rPr>
        <w:t xml:space="preserve">argue </w:t>
      </w:r>
      <w:r>
        <w:rPr>
          <w:rFonts w:cs="Georgia"/>
        </w:rPr>
        <w:t>that Georgians are going to buy, handle and shoot fireworks regardless, so the state should capture the sales taxes they could produce for both state and local governments. Opponents point to the lost fingers, hands and eyesight of youth who mishandle fireworks as a reason to limit local sales to sparklers</w:t>
      </w:r>
      <w:r w:rsidR="00C54751">
        <w:rPr>
          <w:rFonts w:cs="Georgia"/>
        </w:rPr>
        <w:t>,</w:t>
      </w:r>
      <w:bookmarkStart w:id="0" w:name="_GoBack"/>
      <w:bookmarkEnd w:id="0"/>
      <w:r>
        <w:rPr>
          <w:rFonts w:cs="Georgia"/>
        </w:rPr>
        <w:t xml:space="preserve"> as is current law.</w:t>
      </w:r>
    </w:p>
    <w:p w14:paraId="2BE8D381" w14:textId="77777777" w:rsidR="007C5A78" w:rsidRDefault="007C5A78" w:rsidP="007C5A78">
      <w:pPr>
        <w:widowControl w:val="0"/>
        <w:autoSpaceDE w:val="0"/>
        <w:autoSpaceDN w:val="0"/>
        <w:adjustRightInd w:val="0"/>
        <w:jc w:val="both"/>
        <w:rPr>
          <w:rFonts w:cs="Georgia"/>
        </w:rPr>
      </w:pPr>
    </w:p>
    <w:p w14:paraId="1E06CD8A" w14:textId="77777777" w:rsidR="007C5A78" w:rsidRDefault="007C5A78" w:rsidP="007C5A78">
      <w:pPr>
        <w:widowControl w:val="0"/>
        <w:autoSpaceDE w:val="0"/>
        <w:autoSpaceDN w:val="0"/>
        <w:adjustRightInd w:val="0"/>
        <w:jc w:val="both"/>
        <w:rPr>
          <w:rFonts w:cs="Georgia"/>
          <w:b/>
        </w:rPr>
      </w:pPr>
      <w:r w:rsidRPr="003248AF">
        <w:rPr>
          <w:rFonts w:cs="Georgia"/>
          <w:b/>
        </w:rPr>
        <w:t xml:space="preserve">Ban on Smoking in Auto with Children </w:t>
      </w:r>
    </w:p>
    <w:p w14:paraId="0607DA2A" w14:textId="77777777" w:rsidR="007C5A78" w:rsidRDefault="007C5A78" w:rsidP="007C5A78">
      <w:pPr>
        <w:widowControl w:val="0"/>
        <w:autoSpaceDE w:val="0"/>
        <w:autoSpaceDN w:val="0"/>
        <w:adjustRightInd w:val="0"/>
        <w:jc w:val="both"/>
        <w:rPr>
          <w:rFonts w:cs="Georgia"/>
          <w:b/>
        </w:rPr>
      </w:pPr>
    </w:p>
    <w:p w14:paraId="7649251E" w14:textId="77777777" w:rsidR="007C5A78" w:rsidRPr="00951648" w:rsidRDefault="007C5A78" w:rsidP="007C5A78">
      <w:pPr>
        <w:widowControl w:val="0"/>
        <w:autoSpaceDE w:val="0"/>
        <w:autoSpaceDN w:val="0"/>
        <w:adjustRightInd w:val="0"/>
        <w:jc w:val="both"/>
      </w:pPr>
      <w:r>
        <w:rPr>
          <w:rFonts w:cs="Georgia"/>
        </w:rPr>
        <w:t xml:space="preserve">Sen. </w:t>
      </w:r>
      <w:r w:rsidRPr="003248AF">
        <w:rPr>
          <w:rFonts w:cs="Georgia"/>
        </w:rPr>
        <w:t>Bruce Thompson (R-White)</w:t>
      </w:r>
      <w:r>
        <w:rPr>
          <w:rFonts w:cs="Georgia"/>
        </w:rPr>
        <w:t xml:space="preserve"> has been on a personal quest this year to prohibit smoking in an automobile while a child is present. The personal part comes from the fact that Thompson suffers from asthma and believes it’s a result of the secondhand smoke he inhaled as a youth. His legislative effort, </w:t>
      </w:r>
      <w:hyperlink r:id="rId6" w:history="1">
        <w:r w:rsidRPr="009923BB">
          <w:rPr>
            <w:rStyle w:val="Hyperlink"/>
            <w:rFonts w:cs="Georgia"/>
            <w:color w:val="17365D" w:themeColor="text2" w:themeShade="BF"/>
          </w:rPr>
          <w:t>SB</w:t>
        </w:r>
        <w:r>
          <w:rPr>
            <w:rStyle w:val="Hyperlink"/>
            <w:rFonts w:cs="Georgia"/>
            <w:color w:val="17365D" w:themeColor="text2" w:themeShade="BF"/>
          </w:rPr>
          <w:t xml:space="preserve"> </w:t>
        </w:r>
        <w:r w:rsidRPr="009923BB">
          <w:rPr>
            <w:rStyle w:val="Hyperlink"/>
            <w:rFonts w:cs="Georgia"/>
            <w:color w:val="17365D" w:themeColor="text2" w:themeShade="BF"/>
          </w:rPr>
          <w:t>130</w:t>
        </w:r>
      </w:hyperlink>
      <w:r w:rsidRPr="009923BB">
        <w:rPr>
          <w:rFonts w:cs="Georgia"/>
          <w:color w:val="17365D" w:themeColor="text2" w:themeShade="BF"/>
        </w:rPr>
        <w:t>,</w:t>
      </w:r>
      <w:r>
        <w:rPr>
          <w:rFonts w:cs="Georgia"/>
        </w:rPr>
        <w:t xml:space="preserve"> made the crossover from Senate to House on Friday with a strong 37-3 showing. The bill would make it a misdemeanor to smoke or allow smoking in a car when someone 15 years or younger is present.</w:t>
      </w:r>
    </w:p>
    <w:p w14:paraId="2D22AE92" w14:textId="77777777" w:rsidR="007C5A78" w:rsidRDefault="007C5A78" w:rsidP="00D120E3">
      <w:pPr>
        <w:jc w:val="both"/>
      </w:pPr>
    </w:p>
    <w:p w14:paraId="5A3DB934" w14:textId="7685974D" w:rsidR="007C5A78" w:rsidRDefault="007C5A78" w:rsidP="00D120E3">
      <w:pPr>
        <w:jc w:val="both"/>
      </w:pPr>
      <w:r>
        <w:t>Here are some other updates:</w:t>
      </w:r>
    </w:p>
    <w:p w14:paraId="0CF6D696" w14:textId="77777777" w:rsidR="007C5A78" w:rsidRDefault="007C5A78" w:rsidP="00D120E3">
      <w:pPr>
        <w:jc w:val="both"/>
      </w:pPr>
    </w:p>
    <w:p w14:paraId="445C304A" w14:textId="77777777" w:rsidR="007C5A78" w:rsidRDefault="007C5A78" w:rsidP="007C5A78">
      <w:pPr>
        <w:jc w:val="both"/>
        <w:rPr>
          <w:color w:val="auto"/>
          <w:sz w:val="22"/>
          <w:szCs w:val="22"/>
        </w:rPr>
      </w:pPr>
      <w:hyperlink r:id="rId7" w:history="1">
        <w:r w:rsidRPr="00FF3FD3">
          <w:rPr>
            <w:rStyle w:val="Hyperlink"/>
            <w:sz w:val="22"/>
            <w:szCs w:val="22"/>
          </w:rPr>
          <w:t>SB 126, Ability to Prescribe Auto-injectable Epinephrine</w:t>
        </w:r>
      </w:hyperlink>
      <w:r>
        <w:rPr>
          <w:color w:val="auto"/>
          <w:sz w:val="22"/>
          <w:szCs w:val="22"/>
        </w:rPr>
        <w:t xml:space="preserve"> (Sen. Chuck Hufstetler-R)</w:t>
      </w:r>
    </w:p>
    <w:p w14:paraId="1FB56BD0" w14:textId="09109AE0" w:rsidR="007C5A78" w:rsidRPr="00FF3FD3" w:rsidRDefault="007C5A78" w:rsidP="007C5A78">
      <w:pPr>
        <w:jc w:val="both"/>
        <w:rPr>
          <w:color w:val="auto"/>
          <w:sz w:val="22"/>
          <w:szCs w:val="22"/>
        </w:rPr>
      </w:pPr>
      <w:r>
        <w:rPr>
          <w:color w:val="auto"/>
          <w:sz w:val="22"/>
          <w:szCs w:val="22"/>
        </w:rPr>
        <w:t>R</w:t>
      </w:r>
      <w:r w:rsidRPr="00FF3FD3">
        <w:rPr>
          <w:color w:val="auto"/>
          <w:sz w:val="22"/>
          <w:szCs w:val="22"/>
        </w:rPr>
        <w:t>elating to physicians, physician assistants, and others, so as to provide for emergency public access stations to allow a lay rescuer to consult with a medical professional to administer or make available auto-injectable epinephrine under certain circumstances</w:t>
      </w:r>
      <w:r>
        <w:rPr>
          <w:color w:val="auto"/>
          <w:sz w:val="22"/>
          <w:szCs w:val="22"/>
        </w:rPr>
        <w:t xml:space="preserve">. </w:t>
      </w:r>
      <w:r>
        <w:rPr>
          <w:b/>
          <w:color w:val="auto"/>
          <w:sz w:val="22"/>
          <w:szCs w:val="22"/>
        </w:rPr>
        <w:t xml:space="preserve">Status: </w:t>
      </w:r>
      <w:r>
        <w:rPr>
          <w:color w:val="auto"/>
          <w:sz w:val="22"/>
          <w:szCs w:val="22"/>
        </w:rPr>
        <w:t xml:space="preserve"> </w:t>
      </w:r>
      <w:r w:rsidRPr="003336F0">
        <w:rPr>
          <w:color w:val="auto"/>
          <w:sz w:val="22"/>
          <w:szCs w:val="22"/>
        </w:rPr>
        <w:t>Referred to Health &amp; Human Services Cmte</w:t>
      </w:r>
      <w:r>
        <w:rPr>
          <w:color w:val="auto"/>
          <w:sz w:val="22"/>
          <w:szCs w:val="22"/>
        </w:rPr>
        <w:t xml:space="preserve">, </w:t>
      </w:r>
      <w:r w:rsidRPr="00AD58A8">
        <w:rPr>
          <w:color w:val="FF0000"/>
          <w:sz w:val="22"/>
          <w:szCs w:val="22"/>
        </w:rPr>
        <w:t>Passed Cmte by Substitute, Pending Rules Cmte, Passed Senate</w:t>
      </w:r>
      <w:r>
        <w:rPr>
          <w:color w:val="FF0000"/>
          <w:sz w:val="22"/>
          <w:szCs w:val="22"/>
        </w:rPr>
        <w:t xml:space="preserve"> by Substitute, Sent to the House</w:t>
      </w:r>
    </w:p>
    <w:p w14:paraId="7492F209" w14:textId="77777777" w:rsidR="007C5A78" w:rsidRDefault="007C5A78" w:rsidP="00D120E3">
      <w:pPr>
        <w:jc w:val="both"/>
      </w:pPr>
    </w:p>
    <w:p w14:paraId="7D2B0A80" w14:textId="77777777" w:rsidR="007C5A78" w:rsidRDefault="007C5A78" w:rsidP="007C5A78">
      <w:pPr>
        <w:jc w:val="both"/>
        <w:rPr>
          <w:rFonts w:eastAsia="Times New Roman"/>
          <w:color w:val="auto"/>
          <w:sz w:val="22"/>
          <w:szCs w:val="22"/>
        </w:rPr>
      </w:pPr>
      <w:hyperlink r:id="rId8" w:history="1">
        <w:r w:rsidRPr="00357175">
          <w:rPr>
            <w:rStyle w:val="Hyperlink"/>
            <w:rFonts w:eastAsia="Times New Roman"/>
            <w:sz w:val="22"/>
            <w:szCs w:val="22"/>
          </w:rPr>
          <w:t>HB 34, Georgia Right to Try Act</w:t>
        </w:r>
      </w:hyperlink>
      <w:r>
        <w:rPr>
          <w:rFonts w:eastAsia="Times New Roman"/>
          <w:color w:val="auto"/>
          <w:sz w:val="22"/>
          <w:szCs w:val="22"/>
        </w:rPr>
        <w:t xml:space="preserve"> (Rep. Mike Dudgeon-R)</w:t>
      </w:r>
    </w:p>
    <w:p w14:paraId="773EC10A" w14:textId="77777777" w:rsidR="007C5A78" w:rsidRPr="00573DD5" w:rsidRDefault="007C5A78" w:rsidP="007C5A78">
      <w:pPr>
        <w:jc w:val="both"/>
        <w:rPr>
          <w:rFonts w:eastAsia="Times New Roman"/>
          <w:color w:val="auto"/>
          <w:sz w:val="22"/>
          <w:szCs w:val="22"/>
        </w:rPr>
      </w:pPr>
      <w:r>
        <w:rPr>
          <w:rFonts w:eastAsia="Times New Roman"/>
          <w:color w:val="auto"/>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Pr>
          <w:rFonts w:eastAsia="Times New Roman"/>
          <w:b/>
          <w:color w:val="auto"/>
          <w:sz w:val="22"/>
          <w:szCs w:val="22"/>
        </w:rPr>
        <w:t>Status</w:t>
      </w:r>
      <w:r w:rsidRPr="00573DD5">
        <w:rPr>
          <w:rFonts w:eastAsia="Times New Roman"/>
          <w:b/>
          <w:color w:val="auto"/>
          <w:sz w:val="22"/>
          <w:szCs w:val="22"/>
        </w:rPr>
        <w:t xml:space="preserve">: </w:t>
      </w:r>
      <w:r w:rsidRPr="00573DD5">
        <w:rPr>
          <w:rFonts w:eastAsia="Times New Roman"/>
          <w:color w:val="auto"/>
          <w:sz w:val="22"/>
          <w:szCs w:val="22"/>
        </w:rPr>
        <w:t>Referred to Health &amp; Human Services Cmte</w:t>
      </w:r>
      <w:r>
        <w:rPr>
          <w:rFonts w:eastAsia="Times New Roman"/>
          <w:color w:val="auto"/>
          <w:sz w:val="22"/>
          <w:szCs w:val="22"/>
        </w:rPr>
        <w:t xml:space="preserve">, </w:t>
      </w:r>
      <w:r w:rsidRPr="00FF42F5">
        <w:rPr>
          <w:rFonts w:eastAsia="Times New Roman"/>
          <w:color w:val="auto"/>
          <w:sz w:val="22"/>
          <w:szCs w:val="22"/>
        </w:rPr>
        <w:t>Passed Cmte by Substitute, Pending Rules Cmte</w:t>
      </w:r>
      <w:r>
        <w:rPr>
          <w:rFonts w:eastAsia="Times New Roman"/>
          <w:color w:val="auto"/>
          <w:sz w:val="22"/>
          <w:szCs w:val="22"/>
        </w:rPr>
        <w:t xml:space="preserve">, </w:t>
      </w:r>
      <w:r w:rsidRPr="00923759">
        <w:rPr>
          <w:rFonts w:eastAsia="MS ??"/>
          <w:color w:val="00B050"/>
          <w:sz w:val="22"/>
          <w:szCs w:val="22"/>
        </w:rPr>
        <w:t>Dead for the Session</w:t>
      </w:r>
    </w:p>
    <w:p w14:paraId="3D80963E" w14:textId="77777777" w:rsidR="007C5A78" w:rsidRDefault="007C5A78" w:rsidP="007C5A78">
      <w:pPr>
        <w:jc w:val="both"/>
        <w:rPr>
          <w:rFonts w:eastAsia="Times New Roman"/>
          <w:color w:val="auto"/>
          <w:sz w:val="22"/>
          <w:szCs w:val="22"/>
        </w:rPr>
      </w:pPr>
    </w:p>
    <w:p w14:paraId="6730BB23" w14:textId="77777777" w:rsidR="007C5A78" w:rsidRPr="009F339F" w:rsidRDefault="007C5A78" w:rsidP="007C5A78">
      <w:pPr>
        <w:jc w:val="both"/>
        <w:rPr>
          <w:rFonts w:eastAsia="Times New Roman"/>
          <w:color w:val="auto"/>
          <w:sz w:val="22"/>
          <w:szCs w:val="22"/>
        </w:rPr>
      </w:pPr>
      <w:hyperlink r:id="rId9" w:history="1">
        <w:r w:rsidRPr="00736CE3">
          <w:rPr>
            <w:rStyle w:val="Hyperlink"/>
            <w:rFonts w:eastAsia="Times New Roman"/>
            <w:sz w:val="22"/>
            <w:szCs w:val="22"/>
          </w:rPr>
          <w:t>HB 504, Vaccination of Meningococcal Disease of College Students</w:t>
        </w:r>
      </w:hyperlink>
      <w:r>
        <w:rPr>
          <w:rFonts w:eastAsia="Times New Roman"/>
          <w:color w:val="auto"/>
          <w:sz w:val="22"/>
          <w:szCs w:val="22"/>
        </w:rPr>
        <w:t xml:space="preserve"> (Rep. Sharon Cooper-R)</w:t>
      </w:r>
    </w:p>
    <w:p w14:paraId="538826B9" w14:textId="77777777" w:rsidR="007C5A78" w:rsidRPr="00FF42F5" w:rsidRDefault="007C5A78" w:rsidP="007C5A78">
      <w:pPr>
        <w:jc w:val="both"/>
        <w:rPr>
          <w:rFonts w:eastAsia="Times New Roman"/>
          <w:color w:val="auto"/>
          <w:sz w:val="22"/>
          <w:szCs w:val="22"/>
        </w:rPr>
      </w:pPr>
      <w:r w:rsidRPr="009F339F">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9F339F">
        <w:rPr>
          <w:rFonts w:eastAsia="Times New Roman"/>
          <w:b/>
          <w:color w:val="auto"/>
          <w:sz w:val="22"/>
          <w:szCs w:val="22"/>
        </w:rPr>
        <w:t>Status:</w:t>
      </w:r>
      <w:r w:rsidRPr="00136A7C">
        <w:rPr>
          <w:rFonts w:eastAsia="Times New Roman"/>
          <w:b/>
          <w:color w:val="auto"/>
          <w:sz w:val="22"/>
          <w:szCs w:val="22"/>
        </w:rPr>
        <w:t xml:space="preserve"> </w:t>
      </w:r>
      <w:r w:rsidRPr="00136A7C">
        <w:rPr>
          <w:rFonts w:eastAsia="Times New Roman"/>
          <w:color w:val="auto"/>
          <w:sz w:val="22"/>
          <w:szCs w:val="22"/>
        </w:rPr>
        <w:t>Referred to Health &amp; Human Se</w:t>
      </w:r>
      <w:r w:rsidRPr="005D5EC2">
        <w:rPr>
          <w:rFonts w:eastAsia="Times New Roman"/>
          <w:color w:val="auto"/>
          <w:sz w:val="22"/>
          <w:szCs w:val="22"/>
        </w:rPr>
        <w:t xml:space="preserve">rvices Cmte, </w:t>
      </w:r>
      <w:r w:rsidRPr="00FF42F5">
        <w:rPr>
          <w:rFonts w:eastAsia="Times New Roman"/>
          <w:color w:val="auto"/>
          <w:sz w:val="22"/>
          <w:szCs w:val="22"/>
        </w:rPr>
        <w:t>Passed Cmte by Substitute, Pending Rules Cmte, Passed House by Substitute</w:t>
      </w:r>
      <w:r>
        <w:rPr>
          <w:rFonts w:eastAsia="Times New Roman"/>
          <w:color w:val="auto"/>
          <w:sz w:val="22"/>
          <w:szCs w:val="22"/>
        </w:rPr>
        <w:t xml:space="preserve">, Sent to Senate, </w:t>
      </w:r>
      <w:r w:rsidRPr="00EA27F3">
        <w:rPr>
          <w:rFonts w:eastAsia="Times New Roman"/>
          <w:color w:val="FF0000"/>
          <w:sz w:val="22"/>
          <w:szCs w:val="22"/>
        </w:rPr>
        <w:t>Referred to Health &amp; Human Services Cmte</w:t>
      </w:r>
    </w:p>
    <w:p w14:paraId="7BC8A5B9" w14:textId="77777777" w:rsidR="007C5A78" w:rsidRDefault="007C5A78" w:rsidP="007C5A78">
      <w:pPr>
        <w:jc w:val="both"/>
        <w:rPr>
          <w:color w:val="000000" w:themeColor="text1"/>
          <w:sz w:val="22"/>
          <w:szCs w:val="22"/>
        </w:rPr>
      </w:pPr>
      <w:hyperlink r:id="rId10" w:history="1">
        <w:r w:rsidRPr="006771AA">
          <w:rPr>
            <w:rStyle w:val="Hyperlink"/>
            <w:sz w:val="22"/>
            <w:szCs w:val="22"/>
          </w:rPr>
          <w:t>HB 219, Exempt Certain Private Swimming Pools from Inspection and Licensing</w:t>
        </w:r>
      </w:hyperlink>
      <w:r>
        <w:rPr>
          <w:color w:val="000000" w:themeColor="text1"/>
          <w:sz w:val="22"/>
          <w:szCs w:val="22"/>
        </w:rPr>
        <w:t xml:space="preserve"> (Rep. Jeff Jones-R)</w:t>
      </w:r>
    </w:p>
    <w:p w14:paraId="5B8A9521" w14:textId="77777777" w:rsidR="007C5A78" w:rsidRPr="00056A94" w:rsidRDefault="007C5A78" w:rsidP="007C5A78">
      <w:pPr>
        <w:jc w:val="both"/>
        <w:rPr>
          <w:color w:val="FF0000"/>
          <w:sz w:val="22"/>
          <w:szCs w:val="22"/>
        </w:rPr>
      </w:pPr>
      <w:r>
        <w:rPr>
          <w:color w:val="auto"/>
          <w:sz w:val="22"/>
          <w:szCs w:val="22"/>
        </w:rPr>
        <w:t>R</w:t>
      </w:r>
      <w:r w:rsidRPr="006771AA">
        <w:rPr>
          <w:color w:val="auto"/>
          <w:sz w:val="22"/>
          <w:szCs w:val="22"/>
        </w:rPr>
        <w:t xml:space="preserve">elating to health and public swimming pools, so as to exempt certain privately owned swimming pools from </w:t>
      </w:r>
      <w:r w:rsidRPr="00FF3FD3">
        <w:rPr>
          <w:color w:val="auto"/>
          <w:sz w:val="22"/>
          <w:szCs w:val="22"/>
        </w:rPr>
        <w:t xml:space="preserve">inspection and licensing requirements; to authorize inspection requests to board of health by residents or owners. </w:t>
      </w:r>
      <w:r w:rsidRPr="00FF3FD3">
        <w:rPr>
          <w:b/>
          <w:color w:val="auto"/>
          <w:sz w:val="22"/>
          <w:szCs w:val="22"/>
        </w:rPr>
        <w:t xml:space="preserve">Status: </w:t>
      </w:r>
      <w:r w:rsidRPr="00FF3FD3">
        <w:rPr>
          <w:color w:val="auto"/>
          <w:sz w:val="22"/>
          <w:szCs w:val="22"/>
        </w:rPr>
        <w:t>Referred to State Planning &amp; Community Affairs Cmte</w:t>
      </w:r>
      <w:r>
        <w:rPr>
          <w:color w:val="auto"/>
          <w:sz w:val="22"/>
          <w:szCs w:val="22"/>
        </w:rPr>
        <w:t xml:space="preserve">, </w:t>
      </w:r>
      <w:r w:rsidRPr="00056A94">
        <w:rPr>
          <w:color w:val="FF0000"/>
          <w:sz w:val="22"/>
          <w:szCs w:val="22"/>
        </w:rPr>
        <w:t>Passed Cmte by Substitute, Pending Rules Cmte</w:t>
      </w:r>
      <w:r>
        <w:rPr>
          <w:color w:val="FF0000"/>
          <w:sz w:val="22"/>
          <w:szCs w:val="22"/>
        </w:rPr>
        <w:t xml:space="preserve">, </w:t>
      </w:r>
      <w:r w:rsidRPr="00923759">
        <w:rPr>
          <w:rFonts w:eastAsia="MS ??"/>
          <w:color w:val="00B050"/>
          <w:sz w:val="22"/>
          <w:szCs w:val="22"/>
        </w:rPr>
        <w:t>Dead for the Session</w:t>
      </w:r>
    </w:p>
    <w:p w14:paraId="1DEF3759" w14:textId="77777777" w:rsidR="007C5A78" w:rsidRDefault="007C5A78" w:rsidP="00D120E3">
      <w:pPr>
        <w:jc w:val="both"/>
      </w:pPr>
    </w:p>
    <w:p w14:paraId="35A11DD5" w14:textId="77777777" w:rsidR="007C5A78" w:rsidRDefault="007C5A78" w:rsidP="007C5A78">
      <w:pPr>
        <w:jc w:val="both"/>
        <w:rPr>
          <w:color w:val="auto"/>
          <w:sz w:val="22"/>
          <w:szCs w:val="22"/>
        </w:rPr>
      </w:pPr>
      <w:hyperlink r:id="rId11" w:history="1">
        <w:r w:rsidRPr="0073552F">
          <w:rPr>
            <w:rStyle w:val="Hyperlink"/>
            <w:sz w:val="22"/>
            <w:szCs w:val="22"/>
          </w:rPr>
          <w:t>HB 426, Exemptions from Sales and Use Tax</w:t>
        </w:r>
      </w:hyperlink>
      <w:r>
        <w:rPr>
          <w:color w:val="auto"/>
          <w:sz w:val="22"/>
          <w:szCs w:val="22"/>
        </w:rPr>
        <w:t xml:space="preserve"> (Rep. Darlene Taylor-R)</w:t>
      </w:r>
    </w:p>
    <w:p w14:paraId="010253D7" w14:textId="77777777" w:rsidR="007C5A78" w:rsidRPr="004054FF" w:rsidRDefault="007C5A78" w:rsidP="007C5A78">
      <w:pPr>
        <w:jc w:val="both"/>
        <w:rPr>
          <w:color w:val="auto"/>
          <w:sz w:val="22"/>
          <w:szCs w:val="22"/>
        </w:rPr>
      </w:pPr>
      <w:r>
        <w:rPr>
          <w:color w:val="auto"/>
          <w:sz w:val="22"/>
          <w:szCs w:val="22"/>
        </w:rPr>
        <w:t>R</w:t>
      </w:r>
      <w:r w:rsidRPr="004054FF">
        <w:rPr>
          <w:color w:val="auto"/>
          <w:sz w:val="22"/>
          <w:szCs w:val="22"/>
        </w:rPr>
        <w:t>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w:t>
      </w:r>
      <w:r>
        <w:rPr>
          <w:color w:val="auto"/>
          <w:sz w:val="22"/>
          <w:szCs w:val="22"/>
        </w:rPr>
        <w:t xml:space="preserve">. </w:t>
      </w:r>
      <w:r>
        <w:rPr>
          <w:b/>
          <w:color w:val="auto"/>
          <w:sz w:val="22"/>
          <w:szCs w:val="22"/>
        </w:rPr>
        <w:t xml:space="preserve">Status: </w:t>
      </w:r>
      <w:r w:rsidRPr="00136A7C">
        <w:rPr>
          <w:color w:val="auto"/>
          <w:sz w:val="22"/>
          <w:szCs w:val="22"/>
        </w:rPr>
        <w:t>Referred to Ways &amp; Means Cmte</w:t>
      </w:r>
      <w:r>
        <w:rPr>
          <w:color w:val="auto"/>
          <w:sz w:val="22"/>
          <w:szCs w:val="22"/>
        </w:rPr>
        <w:t xml:space="preserve">, </w:t>
      </w:r>
      <w:r w:rsidRPr="00056A94">
        <w:rPr>
          <w:color w:val="FF0000"/>
          <w:sz w:val="22"/>
          <w:szCs w:val="22"/>
        </w:rPr>
        <w:t>Passed Cmte by Substitute, Pending Rules Cmte, Passed House by Substitute</w:t>
      </w:r>
      <w:r>
        <w:rPr>
          <w:color w:val="FF0000"/>
          <w:sz w:val="22"/>
          <w:szCs w:val="22"/>
        </w:rPr>
        <w:t>, Sent to the Senate</w:t>
      </w:r>
    </w:p>
    <w:p w14:paraId="51572251" w14:textId="77777777" w:rsidR="007C5A78" w:rsidRDefault="007C5A78" w:rsidP="007C5A78">
      <w:pPr>
        <w:jc w:val="both"/>
        <w:rPr>
          <w:color w:val="auto"/>
          <w:sz w:val="22"/>
          <w:szCs w:val="22"/>
        </w:rPr>
      </w:pPr>
    </w:p>
    <w:p w14:paraId="16CC54A5" w14:textId="77777777" w:rsidR="007C5A78" w:rsidRDefault="007C5A78" w:rsidP="007C5A78">
      <w:pPr>
        <w:jc w:val="both"/>
        <w:rPr>
          <w:color w:val="auto"/>
          <w:sz w:val="22"/>
          <w:szCs w:val="22"/>
        </w:rPr>
      </w:pPr>
      <w:hyperlink r:id="rId12" w:history="1">
        <w:r w:rsidRPr="00734C62">
          <w:rPr>
            <w:rStyle w:val="Hyperlink"/>
            <w:sz w:val="22"/>
            <w:szCs w:val="22"/>
          </w:rPr>
          <w:t>HB 436, HIV and Syphilis Testing of Pregnant Women</w:t>
        </w:r>
      </w:hyperlink>
      <w:r>
        <w:rPr>
          <w:color w:val="auto"/>
          <w:sz w:val="22"/>
          <w:szCs w:val="22"/>
        </w:rPr>
        <w:t xml:space="preserve"> (Rep. Valerie Clark-R)</w:t>
      </w:r>
    </w:p>
    <w:p w14:paraId="37D80D5E" w14:textId="77777777" w:rsidR="007C5A78" w:rsidRDefault="007C5A78" w:rsidP="007C5A78">
      <w:pPr>
        <w:jc w:val="both"/>
        <w:rPr>
          <w:color w:val="FF0000"/>
          <w:sz w:val="22"/>
          <w:szCs w:val="22"/>
        </w:rPr>
      </w:pPr>
      <w:r>
        <w:rPr>
          <w:sz w:val="22"/>
          <w:szCs w:val="22"/>
        </w:rPr>
        <w:t>R</w:t>
      </w:r>
      <w:r w:rsidRPr="00734C62">
        <w:rPr>
          <w:sz w:val="22"/>
          <w:szCs w:val="22"/>
        </w:rPr>
        <w:t>elating to control of venereal disease, so as to require that physicians and health care providers offer HIV and syphilis testing of pregnant women in their third trimester of pregnancy</w:t>
      </w:r>
      <w:r>
        <w:rPr>
          <w:sz w:val="22"/>
          <w:szCs w:val="22"/>
        </w:rPr>
        <w:t xml:space="preserve">. </w:t>
      </w:r>
      <w:r>
        <w:rPr>
          <w:b/>
          <w:sz w:val="22"/>
          <w:szCs w:val="22"/>
        </w:rPr>
        <w:t xml:space="preserve">Status: </w:t>
      </w:r>
      <w:r w:rsidRPr="00136A7C">
        <w:rPr>
          <w:color w:val="auto"/>
          <w:sz w:val="22"/>
          <w:szCs w:val="22"/>
        </w:rPr>
        <w:t>Referred to Health &amp; Human Services, Passed Cmte, Pending Rules Cmte</w:t>
      </w:r>
      <w:r>
        <w:rPr>
          <w:color w:val="auto"/>
          <w:sz w:val="22"/>
          <w:szCs w:val="22"/>
        </w:rPr>
        <w:t>,</w:t>
      </w:r>
      <w:r w:rsidRPr="00FF42F5">
        <w:rPr>
          <w:color w:val="auto"/>
          <w:sz w:val="22"/>
          <w:szCs w:val="22"/>
        </w:rPr>
        <w:t xml:space="preserve"> House Withdrawn, House Recommitted, Passed Cmte by Substitute, Pending Rules Cmte</w:t>
      </w:r>
      <w:r>
        <w:rPr>
          <w:color w:val="auto"/>
          <w:sz w:val="22"/>
          <w:szCs w:val="22"/>
        </w:rPr>
        <w:t xml:space="preserve">, </w:t>
      </w:r>
      <w:r w:rsidRPr="00F82CBD">
        <w:rPr>
          <w:color w:val="FF0000"/>
          <w:sz w:val="22"/>
          <w:szCs w:val="22"/>
        </w:rPr>
        <w:t>Passed House</w:t>
      </w:r>
      <w:r>
        <w:rPr>
          <w:color w:val="FF0000"/>
          <w:sz w:val="22"/>
          <w:szCs w:val="22"/>
        </w:rPr>
        <w:t xml:space="preserve"> by Substitute, Sent to the Senate</w:t>
      </w:r>
    </w:p>
    <w:p w14:paraId="6E87F49E" w14:textId="77777777" w:rsidR="007C5A78" w:rsidRDefault="007C5A78" w:rsidP="00D120E3">
      <w:pPr>
        <w:jc w:val="both"/>
      </w:pPr>
    </w:p>
    <w:sectPr w:rsidR="007C5A78" w:rsidSect="00EA3E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E3"/>
    <w:rsid w:val="007C5A78"/>
    <w:rsid w:val="00816619"/>
    <w:rsid w:val="00947132"/>
    <w:rsid w:val="00C54751"/>
    <w:rsid w:val="00D120E3"/>
    <w:rsid w:val="00EA3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2EE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E3"/>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20E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E3"/>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20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gis.ga.gov/legislation/en-US/Display/20152016/HB/426" TargetMode="External"/><Relationship Id="rId12" Type="http://schemas.openxmlformats.org/officeDocument/2006/relationships/hyperlink" Target="http://www.legis.ga.gov/legislation/en-US/Display/20152016/HB/436"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gis.ga.gov/Legislation/en-US/display/20152016/HB/110" TargetMode="External"/><Relationship Id="rId6" Type="http://schemas.openxmlformats.org/officeDocument/2006/relationships/hyperlink" Target="http://www.legis.ga.gov/legislation/en-US/Display/20152016/SB/130" TargetMode="External"/><Relationship Id="rId7" Type="http://schemas.openxmlformats.org/officeDocument/2006/relationships/hyperlink" Target="http://www.legis.ga.gov/legislation/en-US/Display/20152016/SB/126" TargetMode="External"/><Relationship Id="rId8" Type="http://schemas.openxmlformats.org/officeDocument/2006/relationships/hyperlink" Target="http://www.legis.ga.gov/legislation/en-US/Display/20152016/HB/34" TargetMode="External"/><Relationship Id="rId9" Type="http://schemas.openxmlformats.org/officeDocument/2006/relationships/hyperlink" Target="http://www.legis.ga.gov/legislation/en-US/Display/20152016/HB/504" TargetMode="External"/><Relationship Id="rId10" Type="http://schemas.openxmlformats.org/officeDocument/2006/relationships/hyperlink" Target="http://www.legis.ga.gov/legislation/en-US/Display/20152016/HB/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Macintosh Word</Application>
  <DocSecurity>0</DocSecurity>
  <Lines>35</Lines>
  <Paragraphs>9</Paragraphs>
  <ScaleCrop>false</ScaleCrop>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dcterms:created xsi:type="dcterms:W3CDTF">2015-03-15T20:18:00Z</dcterms:created>
  <dcterms:modified xsi:type="dcterms:W3CDTF">2015-03-15T20:18:00Z</dcterms:modified>
</cp:coreProperties>
</file>